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2015/324 vom 3. November 2017</w:t>
      </w:r>
    </w:p>
    <w:p>
      <w:r>
        <w:t>Sg Versicherungsgericht, 2017-11-03, DE</w:t>
      </w:r>
    </w:p>
    <w:p>
      <w:r>
        <w:rPr>
          <w:b/>
        </w:rPr>
        <w:t xml:space="preserve">Quelle: </w:t>
      </w:r>
      <w:r>
        <w:t>https://mcp.opencaselaw.ch/entscheid/sg_publikationen_IV 2015_324</w:t>
      </w:r>
    </w:p>
    <w:p>
      <w:r>
        <w:t>FR: SG_VERSICHERUNGSGERICHT IV 2015/324 du 3 novembre 2017</w:t>
      </w:r>
    </w:p>
    <w:p>
      <w:r>
        <w:t>IT: SG_VERSICHERUNGSGERICHT IV 2015/324 del 3 novembre 2017</w:t>
      </w:r>
    </w:p>
    <w:p>
      <w:pPr>
        <w:pStyle w:val="Heading2"/>
      </w:pPr>
      <w:r>
        <w:t>Regeste</w:t>
      </w:r>
    </w:p>
    <w:p>
      <w:r>
        <w:t>Art. 28 IVG. Rentenanspruch. Einkommensvergleich. Zumutbarkeit des Wechsels der Erwerbstätigkeit verneint. Prozentvergleich. Zusprache einer halben Rente (Entscheid des Versicherungsgerichts des Kantons St. Gallen vom 3. November 2017, IV 2015/324).</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Gestützt auf die schlüssigen Stellungnahmen der RAD-Ärztin Dr. C.___ vom 16. September 2014 (IV-act. 55-3) sowie vom 12. Mai 2015 (IV-act. 66) und dem kreisärztlichen Bericht vom 13. August 2014 (fremd-act. 139) ist zwischen den Parteien zu Recht unbestritten (vgl. act. G 1, III. Rz 3, und act. G 5, II Rz 3), dass der Beschwerdeführer für die angestammte Tätigkeit als Z.___ über eine 50%ige Arbeitsfähigkeit verfügt (IV-act. 66; vgl. auch die ergänzende Stellungnahme vom 20. Mai 2015, IV-act. 69). Die Frage, ob die von der RAD-Ärztin für leidensangepasste Tätigkeit bescheinigte 60%ige Arbeitsfähigkeit auf 50% zu reduzieren ist, wie der Beschwerdeführer fordert (act. G 1, III. Rz 3), kann vorliegend mangels Relevanz für den Rentenanspruch offen bleiben.</w:t>
      </w:r>
    </w:p>
    <w:p>
      <w:r>
        <w:rPr>
          <w:b/>
        </w:rPr>
        <w:t>E. 3</w:t>
      </w:r>
    </w:p>
    <w:p>
      <w:r>
        <w:t>Die RAD-Ärztin Dr. C.___ gelangte zur Auffassung, es sei nicht realistisch, dass der Beschwerdeführer die langjährige Tätigkeit als Z.___ aufgebe (Stellungnahme vom 12. Mai 2015, IV-act. 66-2). Deshalb ist nachfolgend zu prüfen, ob dem Beschwerdeführer ein Wechsel in eine leidensangepasste Tätigkeit zugemutet werden kann. 3.1  Die Frage, ob und gegebenenfalls welche berufliche Neueingliederung von einer versicherten Person für die Bestimmung des Invaliditätsgrads im Rahmen ihrer Pflicht zur Schadenminderung verlangt werden kann, beantwortet sich nach dem Grundsatz der Zumutbarkeit (so ausdrücklich auch etwa Art. 7 Abs. 1 und Art. 16 ATSG), der als Teilgehalt im verfassungsmässigen Grundsatz der Verhältnismässigkeit (Art. 5 Abs. 2 der Bundesverfassung [BV; SR 101]) enthalten ist. Von der versicherten Person kann daher nur eine berufliche Umstellung verlangt werden, die ihr unter Berücksichtigung der gesamten objektiven und subjektiven Gegebenheiten des Einzelfalles zumutbar ist, d.h. es darf sich nicht um realitätsfremde und in diesem Sinn unmögliche oder unzumutbare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ihre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(Entscheid des Eidgenössischen Versicherungsgerichts [EVG; seit 1. Januar 2007: Sozialrechtliche Abteilungen des Bundesgerichts] vom 23. Dezember 2004, I 316/04, E. 2.2 mit zahlreichen Hinweisen auf Rechtsprechung und Literatur; siehe auch Urteil des Bundesgerichts vom 21. Februar 2013, 8C_654/2012, E. 5.1 mit Hinweisen). 3.2  Vorliegend ist zunächst von Bedeutung, dass die Aufgabe der angestammten Tätigkeit zugunsten einer leidensangepassten Verweistätigkeit gemäss RAD-Ärztin Dr. C.___ lediglich zu einer „etwas höheren“ (IV-act. 55-2) bzw. um 10% höheren Restarbeitsfähigkeit führt. Zudem sind zahlreiche qualitative Anforderungen an eine leidensangepasste Tätigkeit zu beachten, die das mögliche Spektrum an Tätigkeiten stark und lohnwirksam einschränken (IV-act. 66-2; siehe auch IV-act. 55-2 mit u.a. Hinweis auf die funktionelle Einäugigkeit). Allein schon aus diesem Grund ist vorliegend an die Schadenminderungspflicht des Beschwerdeführers keine überhöhte Anforderung zu stellen. Eine aussagekräftige Schätzung der Arbeitsfähigkeit für eine leidensangepasste Tätigkeit lag des Weiteren erst nach Erreichen eines stabilisierten Gesundheitszustands in Form der Arbeitsfähigkeitsschätzung durch die RAD-Ärztin Dr. C.___ vom 16. September 2014 vor (IV-act. 55-3). In diesem massgebenden Zeitpunkt (vgl. BGE 138 V 457) war der am __ 1952 geborene Beschwerdeführer (IV-act. 1-1) bereits knapp 62-jährig. Er verfügt über keinen Berufsabschluss (IV-act. 1-4) und ausserhalb seiner angestammten langjährigen, teilweise selbstständig ausgeübten Tätigkeit über keine berufliche Erfahrung (siehe das Strategie-Protokoll vom 28. April 2014, IV-act. 41, sowie das Assessment-Protokoll vom 17. April 2014, IV-act. 43-2). In damit zu vereinbarender Weise wurde in der Fallzusammenfassung der Sachbearbeiterin vom 23. Juli 2014 festgehalten, aus medizinischer Sicht bestehe ein zu geringes Eingliederungspotenzial („EP“; IV-act. 55-1). Hinzu kommt, dass der multimorbide Beschwerdeführer jederzeit mit einer erneuten Tumorprogression rechnen muss (RAD-Stellungnahme vom 16. September 2014, IV-act. 55-2; siehe auch IV-act. 69). Damit ist auch bezogen auf einen ausgeglichenen Arbeitsmarkt sehr fraglich, ob der Beschwerdeführer, der teilweise selbstständig und teilweise auf Abruf beim Unternehmen seines Bruders angestellt ist (IV-act. 55-1), überhaupt eine Arbeitgeberin findet, die ihn für leidensangepasste Tätigkeiten anstellen würde. Vor diesem Hintergrund und gestützt auf die Einschätzung der RAD-Ärztin Dr. C.___, dass die Aufgabe der langjährigen Tätigkeit beim kurz vor dem Pensionsalter stehenden Beschwerdeführer nicht „realistisch“ sei (IV-act. 66-2), ist die Zumutbarkeit der Aufgabe der angestammten Tätigkeit als Z.___ zu verneinen. Damit entsprechen sich die Grundlagen für die Bestimmung der Vergleichseinkommen, und der Invaliditätsgrad ist im Rahmen eines Prozentvergleichs zu ermitteln (siehe zum Prozentvergleich etwa Urteil des Bundesgerichts vom 6. April 2016, 8C_628/2015, E. 5.3.1 mit Hinweisen). 3.3  Die Höhe eines Tabellenlohnabzugs kann vorliegend offen gelassen werden. Denn da bei der Bestimmung des Invalideneinkommens auf die angestammte Tätigkeit abgestellt wird und mögliche abzugsrelevante Gesichtspunkte (wie etwa das fortgeschrittene Alter, die mangelnde Flexibilität sowie leidensbedingte Gesichtspunkte) bereits bei der Wahl der Vergleichseinkommen berücksichtigt worden sind (siehe vorstehende E. 3.2), fällt vorliegend jedenfalls ein rentenrelevanter Abzug von 20% oder höher ausser Betracht. 3.4  Ausgehend von einer 50%igen Restarbeitsfähigkeit beträgt der Invaliditätsgrad im Rahmen des Prozentvergleichs 50%. Selbst bei Gewährung eines 15%igen Tabellenlohnabzugs resultierte ein Invaliditätsgrad von aufgerundet 58% (50% + [50% x 15%]). Damit hat der Beschwerdeführer Anspruch auf eine halbe Rente (Art. 28 Abs. 2 IVG). Die Arbeitsunfähigkeit ist gemäss schlüssiger RAD-Stellungnahme vom 12. Mai 2015 im Juni 2013 eingetreten (IV-act. 66-2). Die Anmeldung des Beschwerdeführers zum Leistungsbezug erfolgte am 27. September 2013 (IV-act. 1). In Nachachtung von Art. 28 Abs. 1 lit. b IVG entsteht der Rentenanspruch am 1. Juni 2014. Da damit dem Antrag des Beschwerdeführers auf Zusprache einer halben Rente entsprochen wird, kann offen bleiben, ob seine Gehörsrüge stichhaltig ist (Verletzung der Begründungspflicht; act. G 1, III. Rz 1).</w:t>
      </w:r>
    </w:p>
    <w:p>
      <w:r>
        <w:rPr>
          <w:b/>
        </w:rPr>
        <w:t>E. 4</w:t>
      </w:r>
    </w:p>
    <w:p>
      <w:r>
        <w:t>4.1  Nach dem Gesagten ist die angefochtene Verfügung vom 3. September 2015 aufzuheben und dem Beschwerdeführer mit Wirkung ab 1. Juni 2014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eine Honorarnote eingereicht. Dieser liegt indessen ein mit Rücksicht auf die gewährte unentgeltliche Rechtsverbeiständung bereits um einen Fünftel gekürzter Stundenansatz (Art. 31 Abs. 3 des Anwaltsgesetzes [AnwG; sGS 963.70]) zugrunde. Ausgehend von einem mittleren Honorar von Fr. 250.-- pro Stunde (Art. 24 Abs. 1 der Honorarnote für Rechtsanwälte und Rechtsagenten [HonO; sGS 963.75]) resultiert beim geltend gemachten zeitlichen Aufwand von 10.9 Stunden eine angemessene Parteientschädigung (einschliesslich Barauslagen und Mehrwertsteuer) von aufgerundet Fr. 3'061.-- ([Fr. 2'725.-- x 1.04] x 1.08). Die Festsetzung einer Entschädigung aus der gewährten unentgeltlichen Rechtsverbeiständung (act. G 6) erübrigt sich. Entscheid im Zirkulationsverfahren gemäss Art. 39 VRP 1. In teilweiser Gutheissung der Beschwerde vom 7. Oktober 2015 wird die Verfügung vom 3. September 2015 aufgehoben und dem Beschwerdeführer mit Wirkung ab 1. Juni 2014 eine halbe Rente zugesprochen. Zur Festsetzung und Ausrichtung der Rentenleistung wird die Sache an die Beschwerdegegnerin zurückgewiesen. 2. Die Beschwerdegegnerin bezahlt die Gerichtsgebühr von Fr. 600.--. 3. Die Beschwerdegegnerin hat dem Beschwerdeführer eine Parteientschädigung von Fr. 3'061.--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